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2B" w:rsidRPr="00F63C2B" w:rsidRDefault="00F63C2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F63C2B" w:rsidRPr="00F63C2B" w:rsidRDefault="00F63C2B" w:rsidP="00F63C2B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կնքված պայմանագրի մասին</w:t>
      </w:r>
    </w:p>
    <w:p w:rsidR="00F63C2B" w:rsidRPr="00F63C2B" w:rsidRDefault="00F63C2B" w:rsidP="00F63C2B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` 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>Իրավական կրթության և վերականգնողական ծրագրերի իրականացման կենտրոն ՊՈԱԿ-ը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="00B70DD6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ք. Երևան, Մ.Խորենացու 162/1</w:t>
      </w:r>
      <w:r w:rsidR="009D21E0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 xml:space="preserve">է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="00985DCD">
        <w:rPr>
          <w:rFonts w:ascii="GHEA Grapalat" w:eastAsia="Times New Roman" w:hAnsi="GHEA Grapalat" w:cs="Sylfaen"/>
          <w:b/>
          <w:sz w:val="20"/>
          <w:szCs w:val="24"/>
          <w:lang w:val="af-ZA"/>
        </w:rPr>
        <w:t>N ԻԿՎԾԻԿ-ՄԱԱԾՁԲ-18/74</w:t>
      </w:r>
      <w:r w:rsidR="00F43C5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="00CB593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="00CB593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="00CB593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Pr="00F63C2B">
        <w:rPr>
          <w:rFonts w:ascii="GHEA Grapalat" w:eastAsia="Times New Roman" w:hAnsi="GHEA Grapalat" w:cs="Arial Armenian"/>
          <w:sz w:val="20"/>
          <w:szCs w:val="24"/>
          <w:lang w:val="af-ZA"/>
        </w:rPr>
        <w:t>։</w:t>
      </w:r>
    </w:p>
    <w:tbl>
      <w:tblPr>
        <w:tblW w:w="11624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32"/>
        <w:gridCol w:w="260"/>
        <w:gridCol w:w="178"/>
        <w:gridCol w:w="309"/>
        <w:gridCol w:w="591"/>
        <w:gridCol w:w="217"/>
        <w:gridCol w:w="126"/>
        <w:gridCol w:w="114"/>
        <w:gridCol w:w="61"/>
        <w:gridCol w:w="202"/>
        <w:gridCol w:w="30"/>
        <w:gridCol w:w="416"/>
        <w:gridCol w:w="139"/>
        <w:gridCol w:w="135"/>
        <w:gridCol w:w="195"/>
        <w:gridCol w:w="463"/>
        <w:gridCol w:w="104"/>
        <w:gridCol w:w="49"/>
        <w:gridCol w:w="376"/>
        <w:gridCol w:w="43"/>
        <w:gridCol w:w="192"/>
        <w:gridCol w:w="47"/>
        <w:gridCol w:w="123"/>
        <w:gridCol w:w="693"/>
        <w:gridCol w:w="36"/>
        <w:gridCol w:w="240"/>
        <w:gridCol w:w="137"/>
        <w:gridCol w:w="342"/>
        <w:gridCol w:w="131"/>
        <w:gridCol w:w="46"/>
        <w:gridCol w:w="204"/>
        <w:gridCol w:w="83"/>
        <w:gridCol w:w="49"/>
        <w:gridCol w:w="134"/>
        <w:gridCol w:w="303"/>
        <w:gridCol w:w="35"/>
        <w:gridCol w:w="271"/>
        <w:gridCol w:w="201"/>
        <w:gridCol w:w="36"/>
        <w:gridCol w:w="311"/>
        <w:gridCol w:w="31"/>
        <w:gridCol w:w="497"/>
        <w:gridCol w:w="31"/>
        <w:gridCol w:w="186"/>
        <w:gridCol w:w="38"/>
        <w:gridCol w:w="99"/>
        <w:gridCol w:w="95"/>
        <w:gridCol w:w="742"/>
        <w:gridCol w:w="13"/>
        <w:gridCol w:w="1513"/>
      </w:tblGrid>
      <w:tr w:rsidR="00F63C2B" w:rsidRPr="00B70DD6" w:rsidTr="00CB593D">
        <w:trPr>
          <w:trHeight w:val="146"/>
        </w:trPr>
        <w:tc>
          <w:tcPr>
            <w:tcW w:w="11624" w:type="dxa"/>
            <w:gridSpan w:val="5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63C2B" w:rsidRPr="00F63C2B" w:rsidTr="00BE5940">
        <w:trPr>
          <w:trHeight w:val="11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r w:rsidRPr="00B70DD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N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743" w:type="dxa"/>
            <w:gridSpan w:val="10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2084" w:type="dxa"/>
            <w:gridSpan w:val="11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2268" w:type="dxa"/>
            <w:gridSpan w:val="14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Պայմանագրովնախատեսված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BE5940">
        <w:trPr>
          <w:trHeight w:val="175"/>
        </w:trPr>
        <w:tc>
          <w:tcPr>
            <w:tcW w:w="425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84" w:type="dxa"/>
            <w:gridSpan w:val="1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4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BE5940">
        <w:trPr>
          <w:trHeight w:val="275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985DCD" w:rsidTr="00BE5940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BE5940" w:rsidP="00BE594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Ավտոմեքենայի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սպասարկում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զննում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CB593D">
              <w:rPr>
                <w:rFonts w:ascii="GHEA Grapalat" w:eastAsia="Times New Roman" w:hAnsi="GHEA Grapalat" w:cs="Times New Roma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EE2F3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EE2F3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985DCD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173800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985DCD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173800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5940" w:rsidRPr="00173D8A" w:rsidRDefault="00BE5940" w:rsidP="00BE5940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</w:rPr>
            </w:pPr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KIA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Cerato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ավտոմեքենայի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(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պետական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հաշվառման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համարանիշ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՝ 202 ՏՏ 03)՝</w:t>
            </w:r>
          </w:p>
          <w:p w:rsidR="00F63C2B" w:rsidRPr="00EE2F3B" w:rsidRDefault="00BE5940" w:rsidP="00BE594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</w:pP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Տեխնիկական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սպասարկում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զննություն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՝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ըստ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Կատարողի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տրված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անսարքությունների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թերությունների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ակտերի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հիման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վրա</w:t>
            </w:r>
            <w:proofErr w:type="spellEnd"/>
            <w:r w:rsidR="003E2FC4">
              <w:rPr>
                <w:rFonts w:ascii="GHEA Grapalat" w:eastAsia="Calibri" w:hAnsi="GHEA Grapalat" w:cs="Sylfaen"/>
                <w:sz w:val="18"/>
                <w:szCs w:val="18"/>
              </w:rPr>
              <w:t xml:space="preserve"> </w:t>
            </w:r>
            <w:bookmarkStart w:id="0" w:name="_GoBack"/>
            <w:bookmarkEnd w:id="0"/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Ծառայության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գնի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մեջ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ներառված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է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փոխարինվող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ավտոպահեստամասերի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նյութերի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դետալների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ինչպես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նաև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դրանց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փոխարինման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ծառայությունների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արժեքը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:</w:t>
            </w:r>
            <w:r w:rsidR="00506E42"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5940" w:rsidRPr="00BE5940" w:rsidRDefault="00BE5940" w:rsidP="00BE5940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</w:pPr>
            <w:r w:rsidRPr="00BE594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KIA Cerato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ավտոմեքենայի</w:t>
            </w:r>
            <w:proofErr w:type="spellEnd"/>
            <w:r w:rsidRPr="00BE594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(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պետական</w:t>
            </w:r>
            <w:proofErr w:type="spellEnd"/>
            <w:r w:rsidRPr="00BE594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հաշվառման</w:t>
            </w:r>
            <w:proofErr w:type="spellEnd"/>
            <w:r w:rsidRPr="00BE594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համարանիշ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՝</w:t>
            </w:r>
            <w:r w:rsidRPr="00BE594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202 </w:t>
            </w:r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ՏՏ</w:t>
            </w:r>
            <w:r w:rsidRPr="00BE594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03)</w:t>
            </w:r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՝</w:t>
            </w:r>
          </w:p>
          <w:p w:rsidR="00F63C2B" w:rsidRPr="00EE2F3B" w:rsidRDefault="00BE5940" w:rsidP="00BE5940">
            <w:pPr>
              <w:spacing w:after="0"/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</w:pP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Տեխնիկական</w:t>
            </w:r>
            <w:proofErr w:type="spellEnd"/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սպասարկում</w:t>
            </w:r>
            <w:proofErr w:type="spellEnd"/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և</w:t>
            </w:r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զննություն</w:t>
            </w:r>
            <w:proofErr w:type="spellEnd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՝</w:t>
            </w:r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ըստ</w:t>
            </w:r>
            <w:proofErr w:type="spellEnd"/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Կատարողի</w:t>
            </w:r>
            <w:proofErr w:type="spellEnd"/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տրված</w:t>
            </w:r>
            <w:proofErr w:type="spellEnd"/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անսարքությունների</w:t>
            </w:r>
            <w:proofErr w:type="spellEnd"/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և</w:t>
            </w:r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թերությունների</w:t>
            </w:r>
            <w:proofErr w:type="spellEnd"/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ակտերի</w:t>
            </w:r>
            <w:proofErr w:type="spellEnd"/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հիման</w:t>
            </w:r>
            <w:proofErr w:type="spellEnd"/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վրա</w:t>
            </w:r>
            <w:proofErr w:type="spellEnd"/>
            <w:r w:rsidR="003E2FC4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Ծառայության</w:t>
            </w:r>
            <w:proofErr w:type="spellEnd"/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գնի</w:t>
            </w:r>
            <w:proofErr w:type="spellEnd"/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մեջ</w:t>
            </w:r>
            <w:proofErr w:type="spellEnd"/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ներառված</w:t>
            </w:r>
            <w:proofErr w:type="spellEnd"/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է</w:t>
            </w:r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փոխարինվող</w:t>
            </w:r>
            <w:proofErr w:type="spellEnd"/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ավտոպահեստամասերի</w:t>
            </w:r>
            <w:proofErr w:type="spellEnd"/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նյութերի</w:t>
            </w:r>
            <w:proofErr w:type="spellEnd"/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և</w:t>
            </w:r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դետալների</w:t>
            </w:r>
            <w:proofErr w:type="spellEnd"/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ինչպես</w:t>
            </w:r>
            <w:proofErr w:type="spellEnd"/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նաև</w:t>
            </w:r>
            <w:proofErr w:type="spellEnd"/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դրանց</w:t>
            </w:r>
            <w:proofErr w:type="spellEnd"/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փոխարինման</w:t>
            </w:r>
            <w:proofErr w:type="spellEnd"/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ծառայությունների</w:t>
            </w:r>
            <w:proofErr w:type="spellEnd"/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73D8A">
              <w:rPr>
                <w:rFonts w:ascii="GHEA Grapalat" w:eastAsia="Calibri" w:hAnsi="GHEA Grapalat" w:cs="Sylfaen"/>
                <w:sz w:val="18"/>
                <w:szCs w:val="18"/>
              </w:rPr>
              <w:t>արժեքը</w:t>
            </w:r>
            <w:proofErr w:type="spellEnd"/>
            <w:r w:rsidRPr="009D21E0"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  <w:t>:</w:t>
            </w:r>
          </w:p>
        </w:tc>
      </w:tr>
      <w:tr w:rsidR="00F63C2B" w:rsidRPr="00985DCD" w:rsidTr="00CB593D">
        <w:trPr>
          <w:trHeight w:val="40"/>
        </w:trPr>
        <w:tc>
          <w:tcPr>
            <w:tcW w:w="11624" w:type="dxa"/>
            <w:gridSpan w:val="51"/>
            <w:shd w:val="clear" w:color="auto" w:fill="auto"/>
            <w:vAlign w:val="center"/>
          </w:tcPr>
          <w:p w:rsidR="00F63C2B" w:rsidRPr="00575618" w:rsidRDefault="00F63C2B" w:rsidP="00F63C2B">
            <w:pPr>
              <w:spacing w:after="0" w:line="240" w:lineRule="auto"/>
              <w:jc w:val="both"/>
              <w:rPr>
                <w:rFonts w:ascii="GHEA Grapalat" w:eastAsia="Times New Roman" w:hAnsi="GHEA Grapalat" w:cs="Arial Armenian"/>
                <w:sz w:val="18"/>
                <w:szCs w:val="18"/>
                <w:lang w:val="pt-BR"/>
              </w:rPr>
            </w:pPr>
          </w:p>
        </w:tc>
      </w:tr>
      <w:tr w:rsidR="00F63C2B" w:rsidRPr="00985DCD" w:rsidTr="00CB593D">
        <w:trPr>
          <w:trHeight w:val="169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F63C2B" w:rsidRPr="00575618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F63C2B" w:rsidRPr="00F63C2B" w:rsidTr="00CB593D">
        <w:trPr>
          <w:trHeight w:val="137"/>
        </w:trPr>
        <w:tc>
          <w:tcPr>
            <w:tcW w:w="43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727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</w:tr>
      <w:tr w:rsidR="00F63C2B" w:rsidRPr="00F63C2B" w:rsidTr="00CB593D">
        <w:trPr>
          <w:trHeight w:val="196"/>
        </w:trPr>
        <w:tc>
          <w:tcPr>
            <w:tcW w:w="11624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2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F63C2B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63C2B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985DCD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կամհրապարակելու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6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985DCD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985DCD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08</w:t>
            </w:r>
            <w:r w:rsidR="00647F26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.201</w:t>
            </w:r>
            <w:r w:rsidR="00647F26" w:rsidRPr="00985DCD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8</w:t>
            </w:r>
            <w:r w:rsidR="00F63C2B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թ.</w:t>
            </w:r>
          </w:p>
        </w:tc>
      </w:tr>
      <w:tr w:rsidR="00F63C2B" w:rsidRPr="00985DCD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3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6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F63C2B" w:rsidRPr="00985DCD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3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6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F63C2B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</w:t>
            </w:r>
            <w:r w:rsidRPr="00985D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բանմա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ն</w:t>
            </w:r>
          </w:p>
        </w:tc>
      </w:tr>
      <w:tr w:rsidR="00F63C2B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6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6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CB593D">
        <w:trPr>
          <w:trHeight w:val="54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CB593D">
        <w:trPr>
          <w:trHeight w:val="40"/>
        </w:trPr>
        <w:tc>
          <w:tcPr>
            <w:tcW w:w="1195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40" w:type="dxa"/>
            <w:gridSpan w:val="11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8089" w:type="dxa"/>
            <w:gridSpan w:val="36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հ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F63C2B" w:rsidRPr="00F63C2B" w:rsidTr="00CB593D">
        <w:trPr>
          <w:trHeight w:val="213"/>
        </w:trPr>
        <w:tc>
          <w:tcPr>
            <w:tcW w:w="1195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11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089" w:type="dxa"/>
            <w:gridSpan w:val="36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F63C2B" w:rsidRPr="00F63C2B" w:rsidTr="00CB593D">
        <w:trPr>
          <w:trHeight w:val="137"/>
        </w:trPr>
        <w:tc>
          <w:tcPr>
            <w:tcW w:w="1195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11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2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Գիննառանց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ԱԱՀ</w:t>
            </w:r>
          </w:p>
        </w:tc>
        <w:tc>
          <w:tcPr>
            <w:tcW w:w="27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63C2B" w:rsidRPr="00F63C2B" w:rsidTr="00CB593D">
        <w:trPr>
          <w:trHeight w:val="137"/>
        </w:trPr>
        <w:tc>
          <w:tcPr>
            <w:tcW w:w="11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5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63C2B" w:rsidRPr="00F63C2B" w:rsidTr="00CB593D">
        <w:trPr>
          <w:trHeight w:val="83"/>
        </w:trPr>
        <w:tc>
          <w:tcPr>
            <w:tcW w:w="1195" w:type="dxa"/>
            <w:gridSpan w:val="4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gridSpan w:val="11"/>
            <w:shd w:val="clear" w:color="auto" w:fill="auto"/>
            <w:vAlign w:val="center"/>
          </w:tcPr>
          <w:p w:rsidR="00F63C2B" w:rsidRPr="00F63C2B" w:rsidRDefault="00985DCD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ZW"/>
              </w:rPr>
            </w:pPr>
            <w:r w:rsidRPr="00985DCD">
              <w:rPr>
                <w:rFonts w:ascii="GHEA Grapalat" w:eastAsia="Calibri" w:hAnsi="GHEA Grapalat" w:cs="Times New Roman"/>
                <w:sz w:val="20"/>
                <w:lang w:val="nb-NO"/>
              </w:rPr>
              <w:t xml:space="preserve">«Զեթ Իքս Գարաժ» ՍՊԸ </w:t>
            </w:r>
          </w:p>
        </w:tc>
        <w:tc>
          <w:tcPr>
            <w:tcW w:w="1592" w:type="dxa"/>
            <w:gridSpan w:val="9"/>
            <w:shd w:val="clear" w:color="auto" w:fill="auto"/>
            <w:vAlign w:val="center"/>
          </w:tcPr>
          <w:p w:rsidR="00F63C2B" w:rsidRPr="00F63C2B" w:rsidRDefault="00985DCD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144.833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3C2B" w:rsidRPr="00F63C2B" w:rsidRDefault="00985DCD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144.833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F63C2B" w:rsidRPr="00F63C2B" w:rsidRDefault="00985DCD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28.967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63C2B" w:rsidRPr="00F63C2B" w:rsidRDefault="00985DCD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28.967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3C2B" w:rsidRPr="00F63C2B" w:rsidRDefault="00985DCD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173800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:rsidR="00F63C2B" w:rsidRPr="00F63C2B" w:rsidRDefault="00985DCD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173800</w:t>
            </w:r>
          </w:p>
        </w:tc>
      </w:tr>
      <w:tr w:rsidR="00F63C2B" w:rsidRPr="00F63C2B" w:rsidTr="00CB593D">
        <w:trPr>
          <w:trHeight w:val="290"/>
        </w:trPr>
        <w:tc>
          <w:tcPr>
            <w:tcW w:w="20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52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15" w:firstLine="245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CB593D">
        <w:trPr>
          <w:trHeight w:val="288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CB593D">
        <w:tc>
          <w:tcPr>
            <w:tcW w:w="11624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63C2B" w:rsidRPr="00F63C2B" w:rsidTr="00CB593D">
        <w:tc>
          <w:tcPr>
            <w:tcW w:w="757" w:type="dxa"/>
            <w:gridSpan w:val="2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N</w:t>
            </w:r>
          </w:p>
        </w:tc>
        <w:tc>
          <w:tcPr>
            <w:tcW w:w="1555" w:type="dxa"/>
            <w:gridSpan w:val="5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931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բավարարկամանբավարար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CB593D">
        <w:tc>
          <w:tcPr>
            <w:tcW w:w="7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17F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proofErr w:type="spellEnd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-</w:t>
            </w:r>
          </w:p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յացնելուհամա-պատաս-խանութ-յունը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Մասնա-գիտա-կանգոր-ծունեութ-յուն</w:t>
            </w:r>
            <w:proofErr w:type="spellEnd"/>
          </w:p>
        </w:tc>
        <w:tc>
          <w:tcPr>
            <w:tcW w:w="8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15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F63C2B" w:rsidRPr="00F63C2B" w:rsidTr="00CB593D">
        <w:tc>
          <w:tcPr>
            <w:tcW w:w="7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13"/>
                <w:szCs w:val="13"/>
              </w:rPr>
            </w:pPr>
          </w:p>
        </w:tc>
      </w:tr>
      <w:tr w:rsidR="00F63C2B" w:rsidRPr="00F63C2B" w:rsidTr="00CB593D">
        <w:trPr>
          <w:trHeight w:val="344"/>
        </w:trPr>
        <w:tc>
          <w:tcPr>
            <w:tcW w:w="26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01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CB593D">
        <w:trPr>
          <w:trHeight w:val="346"/>
        </w:trPr>
        <w:tc>
          <w:tcPr>
            <w:tcW w:w="49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985DCD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09.10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</w:rPr>
              <w:t>.2018թ.</w:t>
            </w:r>
          </w:p>
        </w:tc>
      </w:tr>
      <w:tr w:rsidR="00F63C2B" w:rsidRPr="00F63C2B" w:rsidTr="00CB593D">
        <w:trPr>
          <w:trHeight w:val="250"/>
        </w:trPr>
        <w:tc>
          <w:tcPr>
            <w:tcW w:w="4957" w:type="dxa"/>
            <w:gridSpan w:val="22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5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="00BE594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ժամկետիավարտ</w:t>
            </w:r>
            <w:proofErr w:type="spellEnd"/>
          </w:p>
        </w:tc>
      </w:tr>
      <w:tr w:rsidR="00F63C2B" w:rsidRPr="00F63C2B" w:rsidTr="00CB593D">
        <w:trPr>
          <w:trHeight w:val="92"/>
        </w:trPr>
        <w:tc>
          <w:tcPr>
            <w:tcW w:w="4957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F63C2B" w:rsidRPr="00F63C2B" w:rsidTr="00CB593D">
        <w:trPr>
          <w:trHeight w:val="344"/>
        </w:trPr>
        <w:tc>
          <w:tcPr>
            <w:tcW w:w="49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985DCD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10.10</w:t>
            </w:r>
            <w:r w:rsidR="00BE5940">
              <w:rPr>
                <w:rFonts w:ascii="GHEA Grapalat" w:eastAsia="Times New Roman" w:hAnsi="GHEA Grapalat" w:cs="Times New Roman"/>
                <w:sz w:val="18"/>
                <w:szCs w:val="18"/>
              </w:rPr>
              <w:t>.2018թ</w:t>
            </w:r>
          </w:p>
        </w:tc>
      </w:tr>
      <w:tr w:rsidR="00F63C2B" w:rsidRPr="00F63C2B" w:rsidTr="00CB593D">
        <w:trPr>
          <w:trHeight w:val="344"/>
        </w:trPr>
        <w:tc>
          <w:tcPr>
            <w:tcW w:w="49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985DCD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10.10</w:t>
            </w:r>
            <w:r w:rsidR="00BE5940">
              <w:rPr>
                <w:rFonts w:ascii="GHEA Grapalat" w:eastAsia="Times New Roman" w:hAnsi="GHEA Grapalat" w:cs="Times New Roman"/>
                <w:sz w:val="18"/>
                <w:szCs w:val="18"/>
              </w:rPr>
              <w:t>.2018թ</w:t>
            </w:r>
          </w:p>
        </w:tc>
      </w:tr>
      <w:tr w:rsidR="00F63C2B" w:rsidRPr="00F63C2B" w:rsidTr="00CB593D">
        <w:trPr>
          <w:trHeight w:val="344"/>
        </w:trPr>
        <w:tc>
          <w:tcPr>
            <w:tcW w:w="49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985DCD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85DCD">
              <w:rPr>
                <w:rFonts w:ascii="GHEA Grapalat" w:eastAsia="Times New Roman" w:hAnsi="GHEA Grapalat" w:cs="Times New Roman"/>
                <w:sz w:val="18"/>
                <w:szCs w:val="18"/>
              </w:rPr>
              <w:t>10.10.2018թ</w:t>
            </w:r>
          </w:p>
        </w:tc>
      </w:tr>
      <w:tr w:rsidR="00F63C2B" w:rsidRPr="00F63C2B" w:rsidTr="007618D0">
        <w:tc>
          <w:tcPr>
            <w:tcW w:w="1017" w:type="dxa"/>
            <w:gridSpan w:val="3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535" w:type="dxa"/>
            <w:gridSpan w:val="6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9072" w:type="dxa"/>
            <w:gridSpan w:val="42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63C2B" w:rsidRPr="00F63C2B" w:rsidTr="007618D0">
        <w:trPr>
          <w:trHeight w:val="237"/>
        </w:trPr>
        <w:tc>
          <w:tcPr>
            <w:tcW w:w="1017" w:type="dxa"/>
            <w:gridSpan w:val="3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6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9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402" w:type="dxa"/>
            <w:gridSpan w:val="10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3592" w:type="dxa"/>
            <w:gridSpan w:val="12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63C2B" w:rsidRPr="00F63C2B" w:rsidTr="007618D0">
        <w:trPr>
          <w:trHeight w:val="238"/>
        </w:trPr>
        <w:tc>
          <w:tcPr>
            <w:tcW w:w="1017" w:type="dxa"/>
            <w:gridSpan w:val="3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6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9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10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592" w:type="dxa"/>
            <w:gridSpan w:val="12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63C2B" w:rsidRPr="00F63C2B" w:rsidTr="007618D0">
        <w:trPr>
          <w:trHeight w:val="263"/>
        </w:trPr>
        <w:tc>
          <w:tcPr>
            <w:tcW w:w="10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3"/>
                <w:szCs w:val="13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3"/>
                <w:szCs w:val="13"/>
              </w:rPr>
              <w:t>Առկաֆինանսականմիջոցներով</w:t>
            </w:r>
            <w:proofErr w:type="spellEnd"/>
          </w:p>
        </w:tc>
        <w:tc>
          <w:tcPr>
            <w:tcW w:w="24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10"/>
            </w:r>
          </w:p>
        </w:tc>
      </w:tr>
      <w:tr w:rsidR="007618D0" w:rsidRPr="00F63C2B" w:rsidTr="007618D0">
        <w:trPr>
          <w:trHeight w:val="146"/>
        </w:trPr>
        <w:tc>
          <w:tcPr>
            <w:tcW w:w="1017" w:type="dxa"/>
            <w:gridSpan w:val="3"/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6"/>
            <w:shd w:val="clear" w:color="auto" w:fill="auto"/>
            <w:vAlign w:val="center"/>
          </w:tcPr>
          <w:p w:rsidR="007618D0" w:rsidRPr="002156A3" w:rsidRDefault="00985DCD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85DCD">
              <w:rPr>
                <w:rFonts w:ascii="GHEA Grapalat" w:eastAsia="Calibri" w:hAnsi="GHEA Grapalat" w:cs="Times New Roman"/>
                <w:sz w:val="20"/>
                <w:lang w:val="nb-NO"/>
              </w:rPr>
              <w:t xml:space="preserve">«Զեթ Իքս Գարաժ» ՍՊԸ 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7618D0" w:rsidRPr="002156A3" w:rsidRDefault="007618D0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56A3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N </w:t>
            </w:r>
            <w:r w:rsidR="00985DCD">
              <w:rPr>
                <w:rFonts w:ascii="GHEA Grapalat" w:eastAsia="Times New Roman" w:hAnsi="GHEA Grapalat" w:cs="Times New Roman"/>
                <w:sz w:val="18"/>
                <w:szCs w:val="18"/>
              </w:rPr>
              <w:t>ԻԿՎԾԻԿ-ՄԱԱՊՁԲ-18/74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618D0" w:rsidRPr="00F63C2B" w:rsidRDefault="00985DCD" w:rsidP="00091BD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10.10</w:t>
            </w:r>
            <w:r w:rsidR="007618D0">
              <w:rPr>
                <w:rFonts w:ascii="GHEA Grapalat" w:eastAsia="Times New Roman" w:hAnsi="GHEA Grapalat" w:cs="Times New Roman"/>
                <w:sz w:val="18"/>
                <w:szCs w:val="18"/>
              </w:rPr>
              <w:t>.2018</w:t>
            </w:r>
            <w:r w:rsidR="007618D0" w:rsidRPr="00F63C2B">
              <w:rPr>
                <w:rFonts w:ascii="GHEA Grapalat" w:eastAsia="Times New Roman" w:hAnsi="GHEA Grapalat" w:cs="Times New Roman"/>
                <w:sz w:val="18"/>
                <w:szCs w:val="18"/>
              </w:rPr>
              <w:t>թ.</w:t>
            </w:r>
          </w:p>
        </w:tc>
        <w:tc>
          <w:tcPr>
            <w:tcW w:w="1402" w:type="dxa"/>
            <w:gridSpan w:val="10"/>
            <w:shd w:val="clear" w:color="auto" w:fill="auto"/>
            <w:vAlign w:val="center"/>
          </w:tcPr>
          <w:p w:rsidR="007618D0" w:rsidRPr="00F63C2B" w:rsidRDefault="00985DCD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10.10</w:t>
            </w:r>
            <w:r w:rsidR="00DB3B18" w:rsidRPr="00DB3B18">
              <w:rPr>
                <w:rFonts w:ascii="GHEA Grapalat" w:eastAsia="Times New Roman" w:hAnsi="GHEA Grapalat" w:cs="Times New Roman"/>
                <w:sz w:val="18"/>
                <w:szCs w:val="18"/>
              </w:rPr>
              <w:t>.2018թ</w:t>
            </w:r>
            <w:r w:rsidR="00DB3B18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151.10</w:t>
            </w:r>
            <w:r w:rsidR="00BE5940">
              <w:rPr>
                <w:rFonts w:ascii="GHEA Grapalat" w:eastAsia="Times New Roman" w:hAnsi="GHEA Grapalat" w:cs="Times New Roman"/>
                <w:sz w:val="18"/>
                <w:szCs w:val="18"/>
              </w:rPr>
              <w:t>.2018</w:t>
            </w:r>
            <w:r w:rsidR="00BE5940" w:rsidRPr="00F63C2B">
              <w:rPr>
                <w:rFonts w:ascii="GHEA Grapalat" w:eastAsia="Times New Roman" w:hAnsi="GHEA Grapalat" w:cs="Times New Roman"/>
                <w:sz w:val="18"/>
                <w:szCs w:val="18"/>
              </w:rPr>
              <w:t>թ</w:t>
            </w: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618D0" w:rsidRPr="00F63C2B" w:rsidRDefault="00985DCD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173800</w:t>
            </w:r>
          </w:p>
        </w:tc>
        <w:tc>
          <w:tcPr>
            <w:tcW w:w="2462" w:type="dxa"/>
            <w:gridSpan w:val="5"/>
            <w:shd w:val="clear" w:color="auto" w:fill="auto"/>
            <w:vAlign w:val="center"/>
          </w:tcPr>
          <w:p w:rsidR="007618D0" w:rsidRPr="00F63C2B" w:rsidRDefault="00985DCD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173800</w:t>
            </w:r>
          </w:p>
        </w:tc>
      </w:tr>
      <w:tr w:rsidR="007618D0" w:rsidRPr="00F63C2B" w:rsidTr="00CB593D">
        <w:trPr>
          <w:trHeight w:val="150"/>
        </w:trPr>
        <w:tc>
          <w:tcPr>
            <w:tcW w:w="11624" w:type="dxa"/>
            <w:gridSpan w:val="51"/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Ընտրվածմասնակցի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անվանումը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618D0" w:rsidRPr="00F63C2B" w:rsidTr="00CB593D">
        <w:trPr>
          <w:trHeight w:val="125"/>
        </w:trPr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9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.-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ՀՎՀՀ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/>
              </w:rPr>
              <w:footnoteReference w:id="11"/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Անձնագրիհամարը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618D0" w:rsidRPr="00F63C2B" w:rsidTr="00CB593D">
        <w:trPr>
          <w:trHeight w:val="155"/>
        </w:trPr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985DCD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985DCD">
              <w:rPr>
                <w:rFonts w:ascii="GHEA Grapalat" w:eastAsia="Calibri" w:hAnsi="GHEA Grapalat" w:cs="Times New Roman"/>
                <w:sz w:val="20"/>
                <w:lang w:val="nb-NO"/>
              </w:rPr>
              <w:t xml:space="preserve">«Զեթ Իքս Գարաժ» ՍՊԸ 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2156A3" w:rsidRDefault="00985DCD" w:rsidP="002156A3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985DCD">
              <w:rPr>
                <w:rFonts w:ascii="GHEA Grapalat" w:eastAsia="Calibri" w:hAnsi="GHEA Grapalat" w:cs="Times New Roman"/>
                <w:sz w:val="20"/>
                <w:lang w:val="nb-NO"/>
              </w:rPr>
              <w:t>ք.Երևան, Արշակունյաց 11</w:t>
            </w:r>
          </w:p>
        </w:tc>
        <w:tc>
          <w:tcPr>
            <w:tcW w:w="19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91609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-</w:t>
            </w:r>
          </w:p>
        </w:tc>
        <w:tc>
          <w:tcPr>
            <w:tcW w:w="20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2156A3" w:rsidRDefault="00985DCD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985DCD">
              <w:rPr>
                <w:rFonts w:ascii="GHEA Grapalat" w:eastAsia="Calibri" w:hAnsi="GHEA Grapalat" w:cs="Times New Roman"/>
                <w:sz w:val="20"/>
                <w:lang w:val="nb-NO"/>
              </w:rPr>
              <w:t>205002219504</w:t>
            </w: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2156A3" w:rsidRDefault="00985DCD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985DCD">
              <w:rPr>
                <w:rFonts w:ascii="GHEA Grapalat" w:eastAsia="Calibri" w:hAnsi="GHEA Grapalat" w:cs="Times New Roman"/>
                <w:sz w:val="20"/>
                <w:lang w:val="nb-NO"/>
              </w:rPr>
              <w:t>02701398</w:t>
            </w:r>
          </w:p>
        </w:tc>
      </w:tr>
      <w:tr w:rsidR="007618D0" w:rsidRPr="00F63C2B" w:rsidTr="00CB593D">
        <w:trPr>
          <w:trHeight w:val="60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77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7618D0" w:rsidRPr="00F63C2B" w:rsidTr="00CB593D">
        <w:trPr>
          <w:trHeight w:val="129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475"/>
        </w:trPr>
        <w:tc>
          <w:tcPr>
            <w:tcW w:w="281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&lt;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Գնումներիմասին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&gt;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8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60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427"/>
        </w:trPr>
        <w:tc>
          <w:tcPr>
            <w:tcW w:w="28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8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60"/>
        </w:trPr>
        <w:tc>
          <w:tcPr>
            <w:tcW w:w="11624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427"/>
        </w:trPr>
        <w:tc>
          <w:tcPr>
            <w:tcW w:w="28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8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60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102"/>
        </w:trPr>
        <w:tc>
          <w:tcPr>
            <w:tcW w:w="28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Այլանհրաժեշտտեղեկություններ</w:t>
            </w:r>
            <w:proofErr w:type="spellEnd"/>
          </w:p>
        </w:tc>
        <w:tc>
          <w:tcPr>
            <w:tcW w:w="88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60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227"/>
        </w:trPr>
        <w:tc>
          <w:tcPr>
            <w:tcW w:w="11624" w:type="dxa"/>
            <w:gridSpan w:val="51"/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18D0" w:rsidRPr="00F63C2B" w:rsidTr="00CB593D">
        <w:trPr>
          <w:trHeight w:val="47"/>
        </w:trPr>
        <w:tc>
          <w:tcPr>
            <w:tcW w:w="34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Անուն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7618D0" w:rsidRPr="00F63C2B" w:rsidTr="00CB593D">
        <w:trPr>
          <w:trHeight w:val="47"/>
        </w:trPr>
        <w:tc>
          <w:tcPr>
            <w:tcW w:w="3400" w:type="dxa"/>
            <w:gridSpan w:val="14"/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  <w:t>ԴոնարաՄհերյան</w:t>
            </w:r>
            <w:proofErr w:type="spellEnd"/>
          </w:p>
        </w:tc>
        <w:tc>
          <w:tcPr>
            <w:tcW w:w="4125" w:type="dxa"/>
            <w:gridSpan w:val="22"/>
            <w:shd w:val="clear" w:color="auto" w:fill="auto"/>
            <w:vAlign w:val="center"/>
          </w:tcPr>
          <w:p w:rsidR="007618D0" w:rsidRPr="00F63C2B" w:rsidRDefault="00137EC8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</w:rPr>
              <w:t xml:space="preserve">/010/ </w:t>
            </w:r>
            <w:r w:rsidR="007618D0" w:rsidRPr="00FB462B">
              <w:rPr>
                <w:rFonts w:ascii="GHEA Grapalat" w:hAnsi="GHEA Grapalat"/>
                <w:b/>
              </w:rPr>
              <w:t>5</w:t>
            </w:r>
            <w:r w:rsidR="007618D0">
              <w:rPr>
                <w:rFonts w:ascii="GHEA Grapalat" w:hAnsi="GHEA Grapalat"/>
                <w:b/>
              </w:rPr>
              <w:t>57660</w:t>
            </w:r>
          </w:p>
        </w:tc>
        <w:tc>
          <w:tcPr>
            <w:tcW w:w="4099" w:type="dxa"/>
            <w:gridSpan w:val="15"/>
            <w:shd w:val="clear" w:color="auto" w:fill="auto"/>
            <w:vAlign w:val="center"/>
          </w:tcPr>
          <w:p w:rsidR="007618D0" w:rsidRPr="00F63C2B" w:rsidRDefault="003E5DFD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</w:rPr>
            </w:pPr>
            <w:hyperlink r:id="rId9" w:history="1">
              <w:r w:rsidR="007618D0" w:rsidRPr="007315D3">
                <w:rPr>
                  <w:rStyle w:val="a6"/>
                  <w:rFonts w:ascii="GHEA Grapalat" w:hAnsi="GHEA Grapalat"/>
                  <w:b/>
                </w:rPr>
                <w:t>gnumner@lawinstitute.am</w:t>
              </w:r>
            </w:hyperlink>
          </w:p>
        </w:tc>
      </w:tr>
    </w:tbl>
    <w:p w:rsidR="00F63C2B" w:rsidRPr="00F63C2B" w:rsidRDefault="00F63C2B" w:rsidP="00F63C2B">
      <w:pPr>
        <w:spacing w:after="0" w:line="360" w:lineRule="auto"/>
        <w:ind w:right="346"/>
        <w:rPr>
          <w:rFonts w:ascii="GHEA Grapalat" w:eastAsia="Times New Roman" w:hAnsi="GHEA Grapalat" w:cs="Times New Roman"/>
        </w:rPr>
      </w:pPr>
    </w:p>
    <w:p w:rsidR="005A169D" w:rsidRDefault="005A169D"/>
    <w:sectPr w:rsidR="005A169D" w:rsidSect="006A6769">
      <w:pgSz w:w="12240" w:h="15840"/>
      <w:pgMar w:top="45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DFD" w:rsidRDefault="003E5DFD" w:rsidP="00F63C2B">
      <w:pPr>
        <w:spacing w:after="0" w:line="240" w:lineRule="auto"/>
      </w:pPr>
      <w:r>
        <w:separator/>
      </w:r>
    </w:p>
  </w:endnote>
  <w:endnote w:type="continuationSeparator" w:id="0">
    <w:p w:rsidR="003E5DFD" w:rsidRDefault="003E5DFD" w:rsidP="00F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DFD" w:rsidRDefault="003E5DFD" w:rsidP="00F63C2B">
      <w:pPr>
        <w:spacing w:after="0" w:line="240" w:lineRule="auto"/>
      </w:pPr>
      <w:r>
        <w:separator/>
      </w:r>
    </w:p>
  </w:footnote>
  <w:footnote w:type="continuationSeparator" w:id="0">
    <w:p w:rsidR="003E5DFD" w:rsidRDefault="003E5DFD" w:rsidP="00F63C2B">
      <w:pPr>
        <w:spacing w:after="0" w:line="240" w:lineRule="auto"/>
      </w:pPr>
      <w:r>
        <w:continuationSeparator/>
      </w:r>
    </w:p>
  </w:footnote>
  <w:footnote w:id="1">
    <w:p w:rsidR="00F63C2B" w:rsidRPr="00541A77" w:rsidRDefault="00F63C2B" w:rsidP="00F63C2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63C2B" w:rsidRPr="00EB00B9" w:rsidRDefault="00F63C2B" w:rsidP="00F63C2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63C2B" w:rsidRPr="00C868EC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63C2B" w:rsidRPr="0087136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618D0" w:rsidRPr="002D0BF6" w:rsidRDefault="007618D0" w:rsidP="00F63C2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4E5"/>
    <w:rsid w:val="0003308E"/>
    <w:rsid w:val="00091BD0"/>
    <w:rsid w:val="00132037"/>
    <w:rsid w:val="00137EC8"/>
    <w:rsid w:val="00144FE0"/>
    <w:rsid w:val="00182957"/>
    <w:rsid w:val="002156A3"/>
    <w:rsid w:val="003567AC"/>
    <w:rsid w:val="003722FC"/>
    <w:rsid w:val="003A5C30"/>
    <w:rsid w:val="003E2FC4"/>
    <w:rsid w:val="003E5DFD"/>
    <w:rsid w:val="00431C02"/>
    <w:rsid w:val="00486F32"/>
    <w:rsid w:val="004B5C40"/>
    <w:rsid w:val="00506E42"/>
    <w:rsid w:val="00575618"/>
    <w:rsid w:val="005A169D"/>
    <w:rsid w:val="005C0652"/>
    <w:rsid w:val="005E29CD"/>
    <w:rsid w:val="005F3D35"/>
    <w:rsid w:val="00630558"/>
    <w:rsid w:val="00647F26"/>
    <w:rsid w:val="006809F6"/>
    <w:rsid w:val="00750E9C"/>
    <w:rsid w:val="007618D0"/>
    <w:rsid w:val="007640A3"/>
    <w:rsid w:val="00765550"/>
    <w:rsid w:val="00801BC8"/>
    <w:rsid w:val="0083673E"/>
    <w:rsid w:val="00872DB3"/>
    <w:rsid w:val="00916096"/>
    <w:rsid w:val="0093617F"/>
    <w:rsid w:val="00972AE7"/>
    <w:rsid w:val="00985DCD"/>
    <w:rsid w:val="009C4B50"/>
    <w:rsid w:val="009D21E0"/>
    <w:rsid w:val="00A434E5"/>
    <w:rsid w:val="00A61624"/>
    <w:rsid w:val="00A809EF"/>
    <w:rsid w:val="00AD5646"/>
    <w:rsid w:val="00B70DD6"/>
    <w:rsid w:val="00BE5940"/>
    <w:rsid w:val="00BF49D6"/>
    <w:rsid w:val="00C022B3"/>
    <w:rsid w:val="00C111CB"/>
    <w:rsid w:val="00C11AC1"/>
    <w:rsid w:val="00C9219B"/>
    <w:rsid w:val="00CA11DF"/>
    <w:rsid w:val="00CB593D"/>
    <w:rsid w:val="00CE6692"/>
    <w:rsid w:val="00CE7427"/>
    <w:rsid w:val="00D37F7B"/>
    <w:rsid w:val="00D864F8"/>
    <w:rsid w:val="00DB3B18"/>
    <w:rsid w:val="00EE2F3B"/>
    <w:rsid w:val="00EF517D"/>
    <w:rsid w:val="00F42730"/>
    <w:rsid w:val="00F43C56"/>
    <w:rsid w:val="00F63C2B"/>
    <w:rsid w:val="00F8368C"/>
    <w:rsid w:val="00FB5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3027B-A46F-4766-80C8-9F655668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Harutyunyan</cp:lastModifiedBy>
  <cp:revision>56</cp:revision>
  <dcterms:created xsi:type="dcterms:W3CDTF">2018-02-21T05:48:00Z</dcterms:created>
  <dcterms:modified xsi:type="dcterms:W3CDTF">2018-10-10T07:02:00Z</dcterms:modified>
</cp:coreProperties>
</file>